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90E2A" w14:textId="11CF2F4B" w:rsidR="000A71AE" w:rsidRPr="004529FF" w:rsidRDefault="000A71AE" w:rsidP="000A71AE">
      <w:pPr>
        <w:jc w:val="both"/>
        <w:rPr>
          <w:rFonts w:ascii="Aptos Display" w:hAnsi="Aptos Display"/>
          <w:b/>
          <w:bCs/>
          <w:color w:val="525252" w:themeColor="accent3" w:themeShade="80"/>
          <w:sz w:val="24"/>
          <w:szCs w:val="24"/>
        </w:rPr>
      </w:pPr>
      <w:r w:rsidRPr="000A71AE">
        <w:rPr>
          <w:rFonts w:ascii="Aptos Display" w:hAnsi="Aptos Display" w:cstheme="minorHAnsi"/>
          <w:b/>
          <w:bCs/>
          <w:color w:val="538135" w:themeColor="accent6" w:themeShade="BF"/>
          <w:sz w:val="24"/>
          <w:szCs w:val="24"/>
        </w:rPr>
        <w:t xml:space="preserve">Anexa </w:t>
      </w:r>
      <w:r>
        <w:rPr>
          <w:rFonts w:ascii="Aptos Display" w:hAnsi="Aptos Display" w:cstheme="minorHAnsi"/>
          <w:b/>
          <w:bCs/>
          <w:color w:val="538135" w:themeColor="accent6" w:themeShade="BF"/>
          <w:sz w:val="24"/>
          <w:szCs w:val="24"/>
        </w:rPr>
        <w:t>1</w:t>
      </w:r>
      <w:r w:rsidR="002064C4">
        <w:rPr>
          <w:rFonts w:ascii="Aptos Display" w:hAnsi="Aptos Display" w:cstheme="minorHAnsi"/>
          <w:b/>
          <w:bCs/>
          <w:color w:val="538135" w:themeColor="accent6" w:themeShade="BF"/>
          <w:sz w:val="24"/>
          <w:szCs w:val="24"/>
        </w:rPr>
        <w:t>4</w:t>
      </w:r>
      <w:r w:rsidRPr="000A71AE">
        <w:rPr>
          <w:rFonts w:ascii="Aptos Display" w:hAnsi="Aptos Display" w:cstheme="minorHAnsi"/>
          <w:b/>
          <w:bCs/>
          <w:color w:val="538135" w:themeColor="accent6" w:themeShade="BF"/>
          <w:sz w:val="24"/>
          <w:szCs w:val="24"/>
        </w:rPr>
        <w:t xml:space="preserve"> </w:t>
      </w:r>
      <w:r w:rsidRPr="000A71AE">
        <w:rPr>
          <w:rFonts w:ascii="Aptos Display" w:hAnsi="Aptos Display"/>
          <w:b/>
          <w:bCs/>
          <w:color w:val="538135" w:themeColor="accent6" w:themeShade="BF"/>
          <w:sz w:val="24"/>
          <w:szCs w:val="24"/>
        </w:rPr>
        <w:t xml:space="preserve">la </w:t>
      </w:r>
      <w:r w:rsidR="00483F54" w:rsidRPr="00483F54">
        <w:rPr>
          <w:rFonts w:ascii="Aptos Display" w:hAnsi="Aptos Display"/>
          <w:b/>
          <w:bCs/>
          <w:color w:val="538135" w:themeColor="accent6" w:themeShade="BF"/>
          <w:sz w:val="24"/>
          <w:szCs w:val="24"/>
        </w:rPr>
        <w:t xml:space="preserve">GHIDUL SOLICITANTULUI </w:t>
      </w:r>
      <w:r w:rsidR="00B0484D" w:rsidRPr="00B0484D">
        <w:rPr>
          <w:rFonts w:ascii="Aptos Display" w:hAnsi="Aptos Display"/>
          <w:b/>
          <w:bCs/>
          <w:color w:val="538135" w:themeColor="accent6" w:themeShade="BF"/>
          <w:sz w:val="24"/>
          <w:szCs w:val="24"/>
        </w:rPr>
        <w:t xml:space="preserve"> pentru </w:t>
      </w:r>
      <w:r w:rsidR="0011666C" w:rsidRPr="0011666C">
        <w:rPr>
          <w:rFonts w:ascii="Aptos Display" w:hAnsi="Aptos Display"/>
          <w:b/>
          <w:bCs/>
          <w:color w:val="538135" w:themeColor="accent6" w:themeShade="BF"/>
          <w:sz w:val="24"/>
          <w:szCs w:val="24"/>
        </w:rPr>
        <w:t>acțiunea „Dezvoltarea întreprinderilor și antreprenoriatului” componenta „Sprijin pentru creșterea durabilă a întreprinderilor sociale  și crearea de locuri de muncă” – sprijin direct</w:t>
      </w:r>
      <w:r w:rsidR="000F2B7D">
        <w:rPr>
          <w:rFonts w:ascii="Aptos Display" w:hAnsi="Aptos Display"/>
          <w:b/>
          <w:bCs/>
          <w:color w:val="538135" w:themeColor="accent6" w:themeShade="BF"/>
          <w:sz w:val="24"/>
          <w:szCs w:val="24"/>
        </w:rPr>
        <w:t>,</w:t>
      </w:r>
      <w:r w:rsidR="00B0484D" w:rsidRPr="00B0484D">
        <w:rPr>
          <w:rFonts w:ascii="Aptos Display" w:hAnsi="Aptos Display"/>
          <w:b/>
          <w:bCs/>
          <w:color w:val="538135" w:themeColor="accent6" w:themeShade="BF"/>
          <w:sz w:val="24"/>
          <w:szCs w:val="24"/>
        </w:rPr>
        <w:t xml:space="preserve"> din cadrul Programului Tranziție Justă 2021 – 2027</w:t>
      </w:r>
    </w:p>
    <w:p w14:paraId="176449D8" w14:textId="19E9DFC8" w:rsidR="000A71AE" w:rsidRDefault="000A71AE" w:rsidP="000A71AE">
      <w:pPr>
        <w:spacing w:before="29" w:line="240" w:lineRule="exact"/>
        <w:ind w:right="18"/>
        <w:rPr>
          <w:rFonts w:ascii="Times New Roman" w:eastAsia="Arial" w:hAnsi="Times New Roman"/>
          <w:b/>
          <w:i/>
          <w:iCs/>
          <w:spacing w:val="-1"/>
          <w:position w:val="-1"/>
          <w:sz w:val="24"/>
          <w:szCs w:val="24"/>
        </w:rPr>
      </w:pPr>
    </w:p>
    <w:p w14:paraId="1BD9893D" w14:textId="1E2BBD12" w:rsidR="00E71CB1" w:rsidRPr="00E71CB1" w:rsidRDefault="00E71CB1" w:rsidP="00E71CB1">
      <w:pPr>
        <w:tabs>
          <w:tab w:val="left" w:pos="450"/>
        </w:tabs>
        <w:ind w:right="75"/>
        <w:jc w:val="both"/>
        <w:rPr>
          <w:rFonts w:ascii="Calibri" w:eastAsia="Arial" w:hAnsi="Calibri" w:cs="Calibri"/>
          <w:b/>
          <w:spacing w:val="1"/>
          <w:sz w:val="22"/>
          <w:szCs w:val="22"/>
        </w:rPr>
      </w:pPr>
      <w:r w:rsidRPr="00E71CB1">
        <w:rPr>
          <w:rFonts w:ascii="Calibri" w:eastAsia="Arial" w:hAnsi="Calibri" w:cs="Calibri"/>
          <w:b/>
          <w:spacing w:val="1"/>
          <w:sz w:val="22"/>
          <w:szCs w:val="22"/>
        </w:rPr>
        <w:t>Anexa 5</w:t>
      </w:r>
      <w:r>
        <w:rPr>
          <w:rFonts w:ascii="Calibri" w:eastAsia="Arial" w:hAnsi="Calibri" w:cs="Calibri"/>
          <w:b/>
          <w:spacing w:val="1"/>
          <w:sz w:val="22"/>
          <w:szCs w:val="22"/>
        </w:rPr>
        <w:t xml:space="preserve"> la contractul de finanțare</w:t>
      </w:r>
      <w:r w:rsidRPr="00E71CB1">
        <w:rPr>
          <w:rFonts w:ascii="Calibri" w:eastAsia="Arial" w:hAnsi="Calibri" w:cs="Calibri"/>
          <w:b/>
          <w:spacing w:val="1"/>
          <w:sz w:val="22"/>
          <w:szCs w:val="22"/>
        </w:rPr>
        <w:t xml:space="preserve"> – Reguli aplicabile ajutorului de minimis acordat</w:t>
      </w:r>
    </w:p>
    <w:p w14:paraId="03729C0A" w14:textId="77777777" w:rsidR="00E71CB1" w:rsidRPr="00E71CB1" w:rsidRDefault="00E71CB1" w:rsidP="00E71CB1">
      <w:pPr>
        <w:jc w:val="both"/>
        <w:rPr>
          <w:rFonts w:ascii="Calibri" w:eastAsia="Arial" w:hAnsi="Calibri" w:cs="Calibri"/>
          <w:sz w:val="22"/>
          <w:szCs w:val="22"/>
        </w:rPr>
      </w:pPr>
    </w:p>
    <w:p w14:paraId="5ED8EBEB" w14:textId="1B04F411"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 xml:space="preserve">Ajutorul se acordă în baza Regulamentului (UE) nr. 651/2014 din 17 iunie 2014 de declarare a anumitor categorii de ajutoare compatibile cu piața internă în aplicarea articolelor 107 și 108 din tratat, cu modificările și completările ulterioare, respectiv a Regulamentului (UE) nr. 1407/2013 privind aplicarea articolelor 107 și 108 din Tratatul privind funcționarea Uniunii Europene ajutoarelor de minimis, cu modificările și completările ulterioare, precum și a Ordinului ministrului investițiilor și proiectelor europene nr. </w:t>
      </w:r>
      <w:r w:rsidR="00A30BB7">
        <w:rPr>
          <w:rFonts w:ascii="Calibri" w:eastAsia="Arial" w:hAnsi="Calibri" w:cs="Calibri"/>
          <w:sz w:val="22"/>
          <w:szCs w:val="22"/>
        </w:rPr>
        <w:t>5890</w:t>
      </w:r>
      <w:r w:rsidRPr="00E71CB1">
        <w:rPr>
          <w:rFonts w:ascii="Calibri" w:eastAsia="Arial" w:hAnsi="Calibri" w:cs="Calibri"/>
          <w:sz w:val="22"/>
          <w:szCs w:val="22"/>
        </w:rPr>
        <w:t>/1</w:t>
      </w:r>
      <w:r w:rsidR="00A30BB7">
        <w:rPr>
          <w:rFonts w:ascii="Calibri" w:eastAsia="Arial" w:hAnsi="Calibri" w:cs="Calibri"/>
          <w:sz w:val="22"/>
          <w:szCs w:val="22"/>
        </w:rPr>
        <w:t>8</w:t>
      </w:r>
      <w:r w:rsidRPr="00E71CB1">
        <w:rPr>
          <w:rFonts w:ascii="Calibri" w:eastAsia="Arial" w:hAnsi="Calibri" w:cs="Calibri"/>
          <w:sz w:val="22"/>
          <w:szCs w:val="22"/>
        </w:rPr>
        <w:t>.1</w:t>
      </w:r>
      <w:r w:rsidR="00A30BB7">
        <w:rPr>
          <w:rFonts w:ascii="Calibri" w:eastAsia="Arial" w:hAnsi="Calibri" w:cs="Calibri"/>
          <w:sz w:val="22"/>
          <w:szCs w:val="22"/>
        </w:rPr>
        <w:t>2</w:t>
      </w:r>
      <w:r w:rsidRPr="00E71CB1">
        <w:rPr>
          <w:rFonts w:ascii="Calibri" w:eastAsia="Arial" w:hAnsi="Calibri" w:cs="Calibri"/>
          <w:sz w:val="22"/>
          <w:szCs w:val="22"/>
        </w:rPr>
        <w:t>.202</w:t>
      </w:r>
      <w:r w:rsidR="00A30BB7">
        <w:rPr>
          <w:rFonts w:ascii="Calibri" w:eastAsia="Arial" w:hAnsi="Calibri" w:cs="Calibri"/>
          <w:sz w:val="22"/>
          <w:szCs w:val="22"/>
        </w:rPr>
        <w:t>5</w:t>
      </w:r>
      <w:r w:rsidRPr="00E71CB1">
        <w:rPr>
          <w:rFonts w:ascii="Calibri" w:eastAsia="Arial" w:hAnsi="Calibri" w:cs="Calibri"/>
          <w:sz w:val="22"/>
          <w:szCs w:val="22"/>
        </w:rPr>
        <w:t xml:space="preserve"> privind aprobarea schemei de măsuri de ajutor de stat și de minimis pentru finanțarea investițiilor pentru dezvoltarea IMM care sprijină creșterea durabilă și crearea de locuri de muncă în cadrul Programului Tranziție Justă 2021-202</w:t>
      </w:r>
      <w:r w:rsidR="002E3CAC">
        <w:rPr>
          <w:rFonts w:ascii="Calibri" w:eastAsia="Arial" w:hAnsi="Calibri" w:cs="Calibri"/>
          <w:sz w:val="22"/>
          <w:szCs w:val="22"/>
        </w:rPr>
        <w:t>7</w:t>
      </w:r>
      <w:r w:rsidRPr="00E71CB1">
        <w:rPr>
          <w:rFonts w:ascii="Calibri" w:eastAsia="Arial" w:hAnsi="Calibri" w:cs="Calibri"/>
          <w:sz w:val="22"/>
          <w:szCs w:val="22"/>
        </w:rPr>
        <w:t xml:space="preserve">. </w:t>
      </w:r>
    </w:p>
    <w:p w14:paraId="42DF90BB"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Data acordării ajutorului este data la care intră în vigoare contractul de finanțare, indiferent de momentul efectuării plăților/ rambursărilor efective în cadrul proiectului.</w:t>
      </w:r>
    </w:p>
    <w:p w14:paraId="15C0212A" w14:textId="77777777" w:rsidR="00E71CB1" w:rsidRPr="00E71CB1" w:rsidRDefault="00E71CB1" w:rsidP="00E71CB1">
      <w:pPr>
        <w:pStyle w:val="ListParagraph"/>
        <w:ind w:left="1287"/>
        <w:jc w:val="both"/>
        <w:rPr>
          <w:rFonts w:ascii="Calibri" w:eastAsia="Arial" w:hAnsi="Calibri" w:cs="Calibri"/>
          <w:sz w:val="22"/>
          <w:szCs w:val="22"/>
        </w:rPr>
      </w:pPr>
    </w:p>
    <w:p w14:paraId="06C509D3"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Finanțarea nerambursabilă în cuantum total de _______ lei ([valoarea în litere]), așa cum este specificată la art. 3 alin. (2), este constituită din următoarele tipuri de ajutor de stat:</w:t>
      </w:r>
    </w:p>
    <w:p w14:paraId="14AFEC65" w14:textId="7EF1D2AA" w:rsidR="00E71CB1" w:rsidRDefault="00E71CB1" w:rsidP="00E71CB1">
      <w:pPr>
        <w:pStyle w:val="ListParagraph"/>
        <w:ind w:left="450"/>
        <w:jc w:val="both"/>
        <w:rPr>
          <w:rFonts w:ascii="Calibri" w:eastAsia="Arial" w:hAnsi="Calibri" w:cs="Calibri"/>
          <w:sz w:val="22"/>
          <w:szCs w:val="22"/>
        </w:rPr>
      </w:pPr>
      <w:r w:rsidRPr="00E71CB1">
        <w:rPr>
          <w:rFonts w:ascii="Calibri" w:eastAsia="Arial" w:hAnsi="Calibri" w:cs="Calibri"/>
          <w:sz w:val="22"/>
          <w:szCs w:val="22"/>
        </w:rPr>
        <w:t>Ajutor de minimis, în cuantum de ___________lei ([valoarea în litere]), din care ..................lei  valoare eligibilă nerambursabilă din FTJ  iar diferența de ...................lei  valoare eligibilă nerambursabilă din bugetul naţional, ajutor ce se supune prevederilor Regulamentului Comisiei nr. 1407/2013 privind aplicarea articolelor 107 și 108 din Tratatul privind funcționarea Uniunii Europene ajutoarelor de minimis.</w:t>
      </w:r>
    </w:p>
    <w:p w14:paraId="5E70B282" w14:textId="77777777" w:rsidR="0052018C" w:rsidRPr="00E71CB1" w:rsidRDefault="0052018C" w:rsidP="00E71CB1">
      <w:pPr>
        <w:pStyle w:val="ListParagraph"/>
        <w:ind w:left="450"/>
        <w:jc w:val="both"/>
        <w:rPr>
          <w:rFonts w:ascii="Calibri" w:eastAsia="Arial" w:hAnsi="Calibri" w:cs="Calibri"/>
          <w:sz w:val="22"/>
          <w:szCs w:val="22"/>
        </w:rPr>
      </w:pPr>
    </w:p>
    <w:p w14:paraId="3C0CA08E" w14:textId="65E91C6D" w:rsidR="00E71CB1" w:rsidRDefault="00E71CB1" w:rsidP="0052018C">
      <w:pPr>
        <w:pStyle w:val="ListParagraph"/>
        <w:numPr>
          <w:ilvl w:val="0"/>
          <w:numId w:val="4"/>
        </w:numPr>
        <w:jc w:val="both"/>
        <w:rPr>
          <w:rFonts w:ascii="Calibri" w:eastAsia="Arial" w:hAnsi="Calibri" w:cs="Calibri"/>
          <w:sz w:val="22"/>
          <w:szCs w:val="22"/>
        </w:rPr>
      </w:pPr>
      <w:r w:rsidRPr="00E71CB1">
        <w:rPr>
          <w:rFonts w:ascii="Calibri" w:eastAsia="Arial" w:hAnsi="Calibri" w:cs="Calibri"/>
          <w:sz w:val="22"/>
          <w:szCs w:val="22"/>
        </w:rPr>
        <w:t>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4B783476" w14:textId="735E6B50" w:rsidR="00E71CB1" w:rsidRPr="00E71CB1" w:rsidRDefault="0052018C" w:rsidP="00E71CB1">
      <w:pPr>
        <w:pStyle w:val="ListParagraph"/>
        <w:numPr>
          <w:ilvl w:val="0"/>
          <w:numId w:val="4"/>
        </w:numPr>
        <w:autoSpaceDE/>
        <w:autoSpaceDN/>
        <w:ind w:left="478" w:hanging="298"/>
        <w:jc w:val="both"/>
        <w:rPr>
          <w:rFonts w:ascii="Calibri" w:eastAsia="Arial" w:hAnsi="Calibri" w:cs="Calibri"/>
          <w:sz w:val="22"/>
          <w:szCs w:val="22"/>
        </w:rPr>
      </w:pPr>
      <w:r w:rsidRPr="0052018C">
        <w:rPr>
          <w:rFonts w:ascii="Calibri" w:eastAsia="Arial" w:hAnsi="Calibri" w:cs="Calibri"/>
          <w:sz w:val="22"/>
          <w:szCs w:val="22"/>
        </w:rPr>
        <w:t>Perioada de implementare a proiectului poate fi prelungită în limita maximă de 36 de luni, atât pentru proiectele care prevăd exclusiv achiziția de echipamente cât și pentru cele care implică realizarea de lucrări de construcții pentru care este necesară emiterea autorizației de construire în conformitate cu prevederile Legii nr. 50/1991, republicată cu modificările și completările ulterioare, în condițiile stricte ale prevederilor contractului de finanțare. Perioada de implementare poate fi prelungită la solicitarea beneficiarului, doar cu acordul Autorității de Management pentru Programul Tranziție Justă, în baza unui memoriu justificativ, cu motivarea temeinică a cauzelor care au determinat prelungirea.</w:t>
      </w:r>
      <w:r w:rsidR="00E71CB1" w:rsidRPr="00E71CB1">
        <w:rPr>
          <w:rFonts w:ascii="Calibri" w:eastAsia="Arial" w:hAnsi="Calibri" w:cs="Calibri"/>
          <w:sz w:val="22"/>
          <w:szCs w:val="22"/>
        </w:rPr>
        <w:t xml:space="preserve"> Dacă implementarea proiectului nu conduce la realizarea unei investiții inițiale,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integral.</w:t>
      </w:r>
    </w:p>
    <w:p w14:paraId="5D817AA4"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Constatarea nerespectării condițiilor de acordare a ajutoarelor, oricând pe perioada de valabilitate a contractului de finanțare, conduce la rezilirea contractului de finanțare și recuperarea ajutoarelor acordate.</w:t>
      </w:r>
    </w:p>
    <w:p w14:paraId="4B4AD55F" w14:textId="4A77ABDC"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 xml:space="preserve">Beneficiarul trebuie să asigure o contribuție proprie la valoarea eligibilă și neeligibilă a proiectului, precum și costurile asociate asigurării mentenanței și operării investiției propuse, </w:t>
      </w:r>
      <w:r w:rsidR="00403AA5">
        <w:rPr>
          <w:rFonts w:ascii="Calibri" w:eastAsia="Arial" w:hAnsi="Calibri" w:cs="Calibri"/>
          <w:sz w:val="22"/>
          <w:szCs w:val="22"/>
        </w:rPr>
        <w:t xml:space="preserve">fie </w:t>
      </w:r>
      <w:r w:rsidRPr="00E71CB1">
        <w:rPr>
          <w:rFonts w:ascii="Calibri" w:eastAsia="Arial" w:hAnsi="Calibri" w:cs="Calibri"/>
          <w:sz w:val="22"/>
          <w:szCs w:val="22"/>
        </w:rPr>
        <w:lastRenderedPageBreak/>
        <w:t>din resurse proprii, fie din resurse atrase, sub o formă care să nu facă obiectul niciunui alt ajutor public.</w:t>
      </w:r>
    </w:p>
    <w:p w14:paraId="10E877A7" w14:textId="0847D4C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414308DA"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Beneficiarul are obligația de a pune la dispoziția AMPTJ/OIPTJ, în formatul și în termenul solicitate de către acesta, toate datele și informațiile necesare în vederea respectării procedurilor de raportare și monitorizare a ajutoarelor ce îi revin ca responsabilitate.</w:t>
      </w:r>
    </w:p>
    <w:p w14:paraId="43B75C1A" w14:textId="77777777" w:rsidR="00E71CB1" w:rsidRPr="00E71CB1" w:rsidRDefault="00E71CB1" w:rsidP="00E71CB1">
      <w:pPr>
        <w:pStyle w:val="ListParagraph"/>
        <w:numPr>
          <w:ilvl w:val="0"/>
          <w:numId w:val="4"/>
        </w:numPr>
        <w:autoSpaceDE/>
        <w:autoSpaceDN/>
        <w:ind w:left="478"/>
        <w:jc w:val="both"/>
        <w:rPr>
          <w:rFonts w:ascii="Calibri" w:eastAsia="Arial" w:hAnsi="Calibri" w:cs="Calibri"/>
          <w:sz w:val="22"/>
          <w:szCs w:val="22"/>
        </w:rPr>
      </w:pPr>
      <w:r w:rsidRPr="00E71CB1">
        <w:rPr>
          <w:rFonts w:ascii="Calibri" w:eastAsia="Arial" w:hAnsi="Calibri" w:cs="Calibri"/>
          <w:sz w:val="22"/>
          <w:szCs w:val="22"/>
        </w:rPr>
        <w:t>Beneficiarul trebuie să păstreze, pe o perioadă de minimum 10 ani fiscali de la data acordării ajutorului în cadrul măsurii de sprijin, toate documentele referitoare la ajutoarele primite pentru a demonstra respectarea tuturor condițiilor impuse de legislația comunitară în acest domeniu.</w:t>
      </w:r>
    </w:p>
    <w:p w14:paraId="0D4273B6" w14:textId="3D9F1AF2" w:rsidR="00261CDE" w:rsidRPr="00E71CB1" w:rsidRDefault="00261CDE" w:rsidP="00E71CB1">
      <w:pPr>
        <w:pStyle w:val="NormalWeb"/>
        <w:spacing w:after="240"/>
        <w:jc w:val="both"/>
        <w:rPr>
          <w:sz w:val="22"/>
          <w:szCs w:val="22"/>
        </w:rPr>
      </w:pPr>
    </w:p>
    <w:sectPr w:rsidR="00261CDE" w:rsidRPr="00E71CB1"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6584B" w14:textId="77777777" w:rsidR="005366C2" w:rsidRDefault="005366C2" w:rsidP="00AF2593">
      <w:r>
        <w:separator/>
      </w:r>
    </w:p>
  </w:endnote>
  <w:endnote w:type="continuationSeparator" w:id="0">
    <w:p w14:paraId="67BD09E1" w14:textId="77777777" w:rsidR="005366C2" w:rsidRDefault="005366C2"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FDD81" w14:textId="77777777" w:rsidR="005366C2" w:rsidRDefault="005366C2" w:rsidP="00AF2593">
      <w:r>
        <w:separator/>
      </w:r>
    </w:p>
  </w:footnote>
  <w:footnote w:type="continuationSeparator" w:id="0">
    <w:p w14:paraId="1B1FAF1A" w14:textId="77777777" w:rsidR="005366C2" w:rsidRDefault="005366C2"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AE6BD36" w:rsidR="000A71AE" w:rsidRDefault="00C47A8D">
    <w:pPr>
      <w:pStyle w:val="Header"/>
    </w:pPr>
    <w:r>
      <w:rPr>
        <w:noProof/>
      </w:rPr>
      <w:drawing>
        <wp:inline distT="0" distB="0" distL="0" distR="0" wp14:anchorId="532AC139" wp14:editId="060C8F6B">
          <wp:extent cx="5733415" cy="619125"/>
          <wp:effectExtent l="0" t="0" r="635" b="9525"/>
          <wp:docPr id="868792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19125"/>
                  </a:xfrm>
                  <a:prstGeom prst="rect">
                    <a:avLst/>
                  </a:prstGeom>
                  <a:noFill/>
                </pic:spPr>
              </pic:pic>
            </a:graphicData>
          </a:graphic>
        </wp:inline>
      </w:drawing>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3"/>
  </w:num>
  <w:num w:numId="2" w16cid:durableId="1763835969">
    <w:abstractNumId w:val="0"/>
  </w:num>
  <w:num w:numId="3" w16cid:durableId="199637495">
    <w:abstractNumId w:val="2"/>
  </w:num>
  <w:num w:numId="4" w16cid:durableId="1842694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A42"/>
    <w:rsid w:val="000962AC"/>
    <w:rsid w:val="0009788D"/>
    <w:rsid w:val="000A156D"/>
    <w:rsid w:val="000A1B37"/>
    <w:rsid w:val="000A29C0"/>
    <w:rsid w:val="000A5FCC"/>
    <w:rsid w:val="000A6BF2"/>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2B7D"/>
    <w:rsid w:val="000F6F94"/>
    <w:rsid w:val="001037B2"/>
    <w:rsid w:val="00105D33"/>
    <w:rsid w:val="001074BF"/>
    <w:rsid w:val="00110A63"/>
    <w:rsid w:val="00112456"/>
    <w:rsid w:val="0011666C"/>
    <w:rsid w:val="00121180"/>
    <w:rsid w:val="0012295F"/>
    <w:rsid w:val="001338B8"/>
    <w:rsid w:val="001338CA"/>
    <w:rsid w:val="0013410E"/>
    <w:rsid w:val="00134634"/>
    <w:rsid w:val="001364D5"/>
    <w:rsid w:val="00147922"/>
    <w:rsid w:val="00157BA9"/>
    <w:rsid w:val="00162449"/>
    <w:rsid w:val="00165BA4"/>
    <w:rsid w:val="0016726E"/>
    <w:rsid w:val="00171F7C"/>
    <w:rsid w:val="001755D6"/>
    <w:rsid w:val="00182FE3"/>
    <w:rsid w:val="0018597E"/>
    <w:rsid w:val="001872FA"/>
    <w:rsid w:val="00191BA4"/>
    <w:rsid w:val="00193E36"/>
    <w:rsid w:val="001A48F4"/>
    <w:rsid w:val="001A5C78"/>
    <w:rsid w:val="001B26CB"/>
    <w:rsid w:val="001C1B33"/>
    <w:rsid w:val="001C4F0C"/>
    <w:rsid w:val="001C73A6"/>
    <w:rsid w:val="001D12B4"/>
    <w:rsid w:val="001F51A7"/>
    <w:rsid w:val="002064C4"/>
    <w:rsid w:val="002113A0"/>
    <w:rsid w:val="0022427F"/>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67FD"/>
    <w:rsid w:val="002C1846"/>
    <w:rsid w:val="002C2E16"/>
    <w:rsid w:val="002C4590"/>
    <w:rsid w:val="002D0513"/>
    <w:rsid w:val="002D415A"/>
    <w:rsid w:val="002D43DC"/>
    <w:rsid w:val="002E0DF1"/>
    <w:rsid w:val="002E33C3"/>
    <w:rsid w:val="002E3CAC"/>
    <w:rsid w:val="002E5BF2"/>
    <w:rsid w:val="002F48E4"/>
    <w:rsid w:val="002F7456"/>
    <w:rsid w:val="00300288"/>
    <w:rsid w:val="003004DA"/>
    <w:rsid w:val="0030075C"/>
    <w:rsid w:val="00301E5B"/>
    <w:rsid w:val="00302331"/>
    <w:rsid w:val="00303CF7"/>
    <w:rsid w:val="00307F94"/>
    <w:rsid w:val="00310645"/>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3FE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3AA5"/>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1C07"/>
    <w:rsid w:val="004545D6"/>
    <w:rsid w:val="00462EF5"/>
    <w:rsid w:val="00464664"/>
    <w:rsid w:val="00465646"/>
    <w:rsid w:val="00477111"/>
    <w:rsid w:val="0047722C"/>
    <w:rsid w:val="00481E1E"/>
    <w:rsid w:val="00483F54"/>
    <w:rsid w:val="004920DE"/>
    <w:rsid w:val="00493FBE"/>
    <w:rsid w:val="0049622F"/>
    <w:rsid w:val="004A04A1"/>
    <w:rsid w:val="004A055A"/>
    <w:rsid w:val="004A29C3"/>
    <w:rsid w:val="004C68A5"/>
    <w:rsid w:val="004C7F12"/>
    <w:rsid w:val="004C7F13"/>
    <w:rsid w:val="004E32E8"/>
    <w:rsid w:val="00502479"/>
    <w:rsid w:val="00510D56"/>
    <w:rsid w:val="00513046"/>
    <w:rsid w:val="0052018C"/>
    <w:rsid w:val="00524309"/>
    <w:rsid w:val="00525BC4"/>
    <w:rsid w:val="0052614F"/>
    <w:rsid w:val="00526F8B"/>
    <w:rsid w:val="005278B1"/>
    <w:rsid w:val="005361B6"/>
    <w:rsid w:val="005366C2"/>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803FD"/>
    <w:rsid w:val="00681244"/>
    <w:rsid w:val="0069127A"/>
    <w:rsid w:val="00692FA1"/>
    <w:rsid w:val="006971B6"/>
    <w:rsid w:val="006A1A1E"/>
    <w:rsid w:val="006A299F"/>
    <w:rsid w:val="006B0E51"/>
    <w:rsid w:val="006B3F55"/>
    <w:rsid w:val="006B4F0A"/>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2502F"/>
    <w:rsid w:val="00733372"/>
    <w:rsid w:val="00740E76"/>
    <w:rsid w:val="00740F54"/>
    <w:rsid w:val="00742C47"/>
    <w:rsid w:val="00746A77"/>
    <w:rsid w:val="00746E8C"/>
    <w:rsid w:val="00752B1E"/>
    <w:rsid w:val="00752F1A"/>
    <w:rsid w:val="00755C3D"/>
    <w:rsid w:val="00755DF5"/>
    <w:rsid w:val="00762B21"/>
    <w:rsid w:val="00773E99"/>
    <w:rsid w:val="00777C5B"/>
    <w:rsid w:val="00783333"/>
    <w:rsid w:val="00787AD1"/>
    <w:rsid w:val="00790F06"/>
    <w:rsid w:val="0079768C"/>
    <w:rsid w:val="007B00C2"/>
    <w:rsid w:val="007B3EAB"/>
    <w:rsid w:val="007B6A8E"/>
    <w:rsid w:val="007C2BA7"/>
    <w:rsid w:val="007C2EA3"/>
    <w:rsid w:val="007C42A3"/>
    <w:rsid w:val="007C4490"/>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5B54"/>
    <w:rsid w:val="00896791"/>
    <w:rsid w:val="00896DD0"/>
    <w:rsid w:val="008A2B2B"/>
    <w:rsid w:val="008B2089"/>
    <w:rsid w:val="008B51C0"/>
    <w:rsid w:val="008B55BF"/>
    <w:rsid w:val="008B5EAE"/>
    <w:rsid w:val="008B7A95"/>
    <w:rsid w:val="008C0476"/>
    <w:rsid w:val="008C1BD6"/>
    <w:rsid w:val="008C6A51"/>
    <w:rsid w:val="008D2616"/>
    <w:rsid w:val="008D56EB"/>
    <w:rsid w:val="008D7ADD"/>
    <w:rsid w:val="008E511C"/>
    <w:rsid w:val="008E544D"/>
    <w:rsid w:val="008E54B6"/>
    <w:rsid w:val="008F3B9D"/>
    <w:rsid w:val="008F564C"/>
    <w:rsid w:val="009029C7"/>
    <w:rsid w:val="00905ABA"/>
    <w:rsid w:val="00907EAD"/>
    <w:rsid w:val="0091021C"/>
    <w:rsid w:val="0091276A"/>
    <w:rsid w:val="00912FD5"/>
    <w:rsid w:val="00914FAB"/>
    <w:rsid w:val="009176BE"/>
    <w:rsid w:val="0092287A"/>
    <w:rsid w:val="00924CB8"/>
    <w:rsid w:val="0093360A"/>
    <w:rsid w:val="00934201"/>
    <w:rsid w:val="00945C8D"/>
    <w:rsid w:val="00952331"/>
    <w:rsid w:val="0095255F"/>
    <w:rsid w:val="00955257"/>
    <w:rsid w:val="00963BDD"/>
    <w:rsid w:val="00963D5F"/>
    <w:rsid w:val="00981B09"/>
    <w:rsid w:val="00983EB3"/>
    <w:rsid w:val="009A0477"/>
    <w:rsid w:val="009A2245"/>
    <w:rsid w:val="009A78EE"/>
    <w:rsid w:val="009B396E"/>
    <w:rsid w:val="009C17A2"/>
    <w:rsid w:val="009C4EC7"/>
    <w:rsid w:val="009C5051"/>
    <w:rsid w:val="009D0AE9"/>
    <w:rsid w:val="009D3D24"/>
    <w:rsid w:val="009D56C5"/>
    <w:rsid w:val="009E1805"/>
    <w:rsid w:val="009E5D3E"/>
    <w:rsid w:val="009E7FC8"/>
    <w:rsid w:val="009F38A7"/>
    <w:rsid w:val="009F3B58"/>
    <w:rsid w:val="009F5BEB"/>
    <w:rsid w:val="00A01066"/>
    <w:rsid w:val="00A0431E"/>
    <w:rsid w:val="00A07A57"/>
    <w:rsid w:val="00A10192"/>
    <w:rsid w:val="00A108CD"/>
    <w:rsid w:val="00A17077"/>
    <w:rsid w:val="00A1719D"/>
    <w:rsid w:val="00A17C26"/>
    <w:rsid w:val="00A30BB7"/>
    <w:rsid w:val="00A31F77"/>
    <w:rsid w:val="00A34F82"/>
    <w:rsid w:val="00A4131D"/>
    <w:rsid w:val="00A539FB"/>
    <w:rsid w:val="00A60F2C"/>
    <w:rsid w:val="00A65071"/>
    <w:rsid w:val="00A67EA7"/>
    <w:rsid w:val="00A7243F"/>
    <w:rsid w:val="00A732A2"/>
    <w:rsid w:val="00A73CE5"/>
    <w:rsid w:val="00A75DAC"/>
    <w:rsid w:val="00A821AE"/>
    <w:rsid w:val="00A87D47"/>
    <w:rsid w:val="00A90AF0"/>
    <w:rsid w:val="00A94F85"/>
    <w:rsid w:val="00A95428"/>
    <w:rsid w:val="00A96198"/>
    <w:rsid w:val="00AA129D"/>
    <w:rsid w:val="00AA2DA0"/>
    <w:rsid w:val="00AB2AB9"/>
    <w:rsid w:val="00AC0345"/>
    <w:rsid w:val="00AC4B6B"/>
    <w:rsid w:val="00AC6C9F"/>
    <w:rsid w:val="00AC732D"/>
    <w:rsid w:val="00AC737D"/>
    <w:rsid w:val="00AC7F0E"/>
    <w:rsid w:val="00AD1AA8"/>
    <w:rsid w:val="00AD1B92"/>
    <w:rsid w:val="00AD6D61"/>
    <w:rsid w:val="00AE04E8"/>
    <w:rsid w:val="00AF2593"/>
    <w:rsid w:val="00AF55E5"/>
    <w:rsid w:val="00AF6486"/>
    <w:rsid w:val="00B0484D"/>
    <w:rsid w:val="00B1062C"/>
    <w:rsid w:val="00B112FB"/>
    <w:rsid w:val="00B16531"/>
    <w:rsid w:val="00B314E4"/>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290C"/>
    <w:rsid w:val="00B868BF"/>
    <w:rsid w:val="00B94732"/>
    <w:rsid w:val="00BA113E"/>
    <w:rsid w:val="00BA62AF"/>
    <w:rsid w:val="00BB33BE"/>
    <w:rsid w:val="00BB46B6"/>
    <w:rsid w:val="00BB5318"/>
    <w:rsid w:val="00BB7AB7"/>
    <w:rsid w:val="00BB7E73"/>
    <w:rsid w:val="00BC676D"/>
    <w:rsid w:val="00BC6828"/>
    <w:rsid w:val="00BD6152"/>
    <w:rsid w:val="00BD7189"/>
    <w:rsid w:val="00BE4DE4"/>
    <w:rsid w:val="00BF04D7"/>
    <w:rsid w:val="00BF136F"/>
    <w:rsid w:val="00BF28EE"/>
    <w:rsid w:val="00C007FF"/>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48D8"/>
    <w:rsid w:val="00C45F49"/>
    <w:rsid w:val="00C47A8D"/>
    <w:rsid w:val="00C51173"/>
    <w:rsid w:val="00C5231D"/>
    <w:rsid w:val="00C6521A"/>
    <w:rsid w:val="00C74FA6"/>
    <w:rsid w:val="00C84A42"/>
    <w:rsid w:val="00C86511"/>
    <w:rsid w:val="00C8704D"/>
    <w:rsid w:val="00C871F4"/>
    <w:rsid w:val="00C95EA3"/>
    <w:rsid w:val="00C979DB"/>
    <w:rsid w:val="00CA5447"/>
    <w:rsid w:val="00CB14ED"/>
    <w:rsid w:val="00CB3E92"/>
    <w:rsid w:val="00CB5AF3"/>
    <w:rsid w:val="00CC0795"/>
    <w:rsid w:val="00CC2435"/>
    <w:rsid w:val="00CD0660"/>
    <w:rsid w:val="00CD7753"/>
    <w:rsid w:val="00CE20CF"/>
    <w:rsid w:val="00CE3B8E"/>
    <w:rsid w:val="00CE4B0F"/>
    <w:rsid w:val="00CF1E41"/>
    <w:rsid w:val="00CF2A46"/>
    <w:rsid w:val="00CF55FE"/>
    <w:rsid w:val="00CF57AD"/>
    <w:rsid w:val="00CF6993"/>
    <w:rsid w:val="00CF7574"/>
    <w:rsid w:val="00CF7A4F"/>
    <w:rsid w:val="00D01A21"/>
    <w:rsid w:val="00D034A0"/>
    <w:rsid w:val="00D06D9A"/>
    <w:rsid w:val="00D243AD"/>
    <w:rsid w:val="00D24BB4"/>
    <w:rsid w:val="00D259E5"/>
    <w:rsid w:val="00D32B85"/>
    <w:rsid w:val="00D566D2"/>
    <w:rsid w:val="00D76ABC"/>
    <w:rsid w:val="00D76E06"/>
    <w:rsid w:val="00D817A9"/>
    <w:rsid w:val="00D87932"/>
    <w:rsid w:val="00D90728"/>
    <w:rsid w:val="00D91D38"/>
    <w:rsid w:val="00D92A1C"/>
    <w:rsid w:val="00D93183"/>
    <w:rsid w:val="00D953C2"/>
    <w:rsid w:val="00DA2E2B"/>
    <w:rsid w:val="00DA2F5B"/>
    <w:rsid w:val="00DB3114"/>
    <w:rsid w:val="00DC2749"/>
    <w:rsid w:val="00DC4A32"/>
    <w:rsid w:val="00DC6DF0"/>
    <w:rsid w:val="00DD2CEA"/>
    <w:rsid w:val="00DD4F86"/>
    <w:rsid w:val="00DD7F6E"/>
    <w:rsid w:val="00DE2E85"/>
    <w:rsid w:val="00DE2F33"/>
    <w:rsid w:val="00DE2FB6"/>
    <w:rsid w:val="00DE5587"/>
    <w:rsid w:val="00DE7EB5"/>
    <w:rsid w:val="00DF038F"/>
    <w:rsid w:val="00DF0873"/>
    <w:rsid w:val="00DF0EB6"/>
    <w:rsid w:val="00DF144E"/>
    <w:rsid w:val="00DF2081"/>
    <w:rsid w:val="00DF3A38"/>
    <w:rsid w:val="00DF78AC"/>
    <w:rsid w:val="00E0350F"/>
    <w:rsid w:val="00E04931"/>
    <w:rsid w:val="00E05CDA"/>
    <w:rsid w:val="00E06162"/>
    <w:rsid w:val="00E14257"/>
    <w:rsid w:val="00E15E02"/>
    <w:rsid w:val="00E20970"/>
    <w:rsid w:val="00E20CFC"/>
    <w:rsid w:val="00E216E8"/>
    <w:rsid w:val="00E21FB0"/>
    <w:rsid w:val="00E24E14"/>
    <w:rsid w:val="00E2678A"/>
    <w:rsid w:val="00E34787"/>
    <w:rsid w:val="00E3596F"/>
    <w:rsid w:val="00E437A1"/>
    <w:rsid w:val="00E43B12"/>
    <w:rsid w:val="00E45476"/>
    <w:rsid w:val="00E4674F"/>
    <w:rsid w:val="00E5164B"/>
    <w:rsid w:val="00E52113"/>
    <w:rsid w:val="00E52B41"/>
    <w:rsid w:val="00E55469"/>
    <w:rsid w:val="00E55826"/>
    <w:rsid w:val="00E56B24"/>
    <w:rsid w:val="00E60AF8"/>
    <w:rsid w:val="00E610A9"/>
    <w:rsid w:val="00E6362B"/>
    <w:rsid w:val="00E6768F"/>
    <w:rsid w:val="00E6777C"/>
    <w:rsid w:val="00E6778A"/>
    <w:rsid w:val="00E719B0"/>
    <w:rsid w:val="00E71CB1"/>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EF540C"/>
    <w:rsid w:val="00F01614"/>
    <w:rsid w:val="00F02DBE"/>
    <w:rsid w:val="00F06408"/>
    <w:rsid w:val="00F0664F"/>
    <w:rsid w:val="00F07183"/>
    <w:rsid w:val="00F10CD0"/>
    <w:rsid w:val="00F20DE3"/>
    <w:rsid w:val="00F26DAC"/>
    <w:rsid w:val="00F30E80"/>
    <w:rsid w:val="00F408B9"/>
    <w:rsid w:val="00F4720E"/>
    <w:rsid w:val="00F54FDC"/>
    <w:rsid w:val="00F61B52"/>
    <w:rsid w:val="00F721AC"/>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E71CB1"/>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700</Words>
  <Characters>4385</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5</cp:revision>
  <cp:lastPrinted>2025-12-24T09:48:00Z</cp:lastPrinted>
  <dcterms:created xsi:type="dcterms:W3CDTF">2025-12-23T10:22:00Z</dcterms:created>
  <dcterms:modified xsi:type="dcterms:W3CDTF">2025-12-24T09:48:00Z</dcterms:modified>
</cp:coreProperties>
</file>